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DEE8" w14:textId="496D984C" w:rsidR="00690A3E" w:rsidRDefault="005445ED" w:rsidP="00690A3E">
      <w:pPr>
        <w:pStyle w:val="Pealkiri4"/>
        <w:numPr>
          <w:ilvl w:val="0"/>
          <w:numId w:val="0"/>
        </w:numPr>
        <w:rPr>
          <w:lang w:val="et-EE"/>
        </w:rPr>
      </w:pPr>
      <w:bookmarkStart w:id="0" w:name="_Toc531938856"/>
      <w:bookmarkStart w:id="1" w:name="_Toc531938858"/>
      <w:r w:rsidRPr="0036160B">
        <w:rPr>
          <w:lang w:val="et-EE"/>
        </w:rPr>
        <w:t>KOV vara kasutamise kontroll-leh</w:t>
      </w:r>
      <w:bookmarkEnd w:id="1"/>
      <w:r w:rsidR="00690A3E" w:rsidRPr="0036160B">
        <w:rPr>
          <w:lang w:val="et-EE"/>
        </w:rPr>
        <w:t>t</w:t>
      </w:r>
      <w:bookmarkEnd w:id="0"/>
    </w:p>
    <w:p w14:paraId="3E6C7E44" w14:textId="77777777" w:rsidR="00690A3E" w:rsidRPr="00690A3E" w:rsidRDefault="00690A3E" w:rsidP="00690A3E">
      <w:pPr>
        <w:pStyle w:val="Kehatekst"/>
        <w:rPr>
          <w:lang w:val="et-EE"/>
        </w:rPr>
      </w:pPr>
    </w:p>
    <w:tbl>
      <w:tblPr>
        <w:tblStyle w:val="Kontuurtabel"/>
        <w:tblW w:w="15593" w:type="dxa"/>
        <w:tblInd w:w="-714" w:type="dxa"/>
        <w:tblLook w:val="04A0" w:firstRow="1" w:lastRow="0" w:firstColumn="1" w:lastColumn="0" w:noHBand="0" w:noVBand="1"/>
      </w:tblPr>
      <w:tblGrid>
        <w:gridCol w:w="5529"/>
        <w:gridCol w:w="581"/>
        <w:gridCol w:w="581"/>
        <w:gridCol w:w="425"/>
        <w:gridCol w:w="583"/>
        <w:gridCol w:w="4230"/>
        <w:gridCol w:w="3664"/>
      </w:tblGrid>
      <w:tr w:rsidR="005445ED" w:rsidRPr="0036160B" w14:paraId="229A3B51" w14:textId="77777777" w:rsidTr="00CE7A09">
        <w:trPr>
          <w:tblHeader/>
        </w:trPr>
        <w:tc>
          <w:tcPr>
            <w:tcW w:w="5529" w:type="dxa"/>
            <w:shd w:val="clear" w:color="auto" w:fill="D9D9D9" w:themeFill="background1" w:themeFillShade="D9"/>
          </w:tcPr>
          <w:p w14:paraId="206BD82C" w14:textId="77777777" w:rsidR="005445ED" w:rsidRPr="0036160B" w:rsidRDefault="005445ED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>Printsiip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6450E0D5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0DCE24D9" w14:textId="77777777" w:rsidR="005445ED" w:rsidRPr="0036160B" w:rsidRDefault="005445ED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 xml:space="preserve">Jah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86847AA" w14:textId="77777777" w:rsidR="005445ED" w:rsidRPr="0036160B" w:rsidRDefault="005445ED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 xml:space="preserve">Ei 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14:paraId="13920C64" w14:textId="77777777" w:rsidR="005445ED" w:rsidRPr="0036160B" w:rsidRDefault="005445ED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>N/A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64F224AE" w14:textId="77777777" w:rsidR="005445ED" w:rsidRPr="0036160B" w:rsidRDefault="005445ED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>Mitterakendamise põhjendus („ei“ korral)</w:t>
            </w:r>
          </w:p>
        </w:tc>
        <w:tc>
          <w:tcPr>
            <w:tcW w:w="3664" w:type="dxa"/>
            <w:shd w:val="clear" w:color="auto" w:fill="D9D9D9" w:themeFill="background1" w:themeFillShade="D9"/>
          </w:tcPr>
          <w:p w14:paraId="38760493" w14:textId="77777777" w:rsidR="005445ED" w:rsidRPr="0036160B" w:rsidRDefault="005445ED" w:rsidP="00CE7A09">
            <w:pPr>
              <w:rPr>
                <w:lang w:val="et-EE"/>
              </w:rPr>
            </w:pPr>
            <w:r w:rsidRPr="0036160B">
              <w:rPr>
                <w:lang w:val="et-EE"/>
              </w:rPr>
              <w:t xml:space="preserve">Kommentaar </w:t>
            </w:r>
          </w:p>
        </w:tc>
      </w:tr>
      <w:tr w:rsidR="005445ED" w:rsidRPr="0071503D" w14:paraId="20061A5F" w14:textId="77777777" w:rsidTr="00CE7A09">
        <w:tc>
          <w:tcPr>
            <w:tcW w:w="5529" w:type="dxa"/>
          </w:tcPr>
          <w:p w14:paraId="11E269F2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>On vastu võetud omavalitsuse vara valitsemise kord.</w:t>
            </w:r>
          </w:p>
        </w:tc>
        <w:tc>
          <w:tcPr>
            <w:tcW w:w="581" w:type="dxa"/>
          </w:tcPr>
          <w:p w14:paraId="36072263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4ABEEFA7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9FCC2A5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10C3F9C7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495205DC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6AB79619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71503D" w14:paraId="1B32A05A" w14:textId="77777777" w:rsidTr="00CE7A09">
        <w:tc>
          <w:tcPr>
            <w:tcW w:w="5529" w:type="dxa"/>
          </w:tcPr>
          <w:p w14:paraId="252E6776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>On määratletud otstarbed, milleks tohib (ja ei tohi) KOV vara kasutada.</w:t>
            </w:r>
          </w:p>
        </w:tc>
        <w:tc>
          <w:tcPr>
            <w:tcW w:w="581" w:type="dxa"/>
          </w:tcPr>
          <w:p w14:paraId="0043CF25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446E7789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CECAC58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7E9C9191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57897391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4F23604F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71503D" w14:paraId="3C99E0C6" w14:textId="77777777" w:rsidTr="00CE7A09">
        <w:tc>
          <w:tcPr>
            <w:tcW w:w="5529" w:type="dxa"/>
          </w:tcPr>
          <w:p w14:paraId="003E5485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>On määratletud, kes saavad olla KOV vara valitsejad.</w:t>
            </w:r>
          </w:p>
        </w:tc>
        <w:tc>
          <w:tcPr>
            <w:tcW w:w="581" w:type="dxa"/>
          </w:tcPr>
          <w:p w14:paraId="723D3227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30B9F915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99566AE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3910910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0E157B37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69249CA2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71503D" w14:paraId="1FF0165C" w14:textId="77777777" w:rsidTr="00CE7A09">
        <w:tc>
          <w:tcPr>
            <w:tcW w:w="5529" w:type="dxa"/>
          </w:tcPr>
          <w:p w14:paraId="7650D14F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>On määratletud KOV vara valitsejate kohustused.</w:t>
            </w:r>
          </w:p>
        </w:tc>
        <w:tc>
          <w:tcPr>
            <w:tcW w:w="581" w:type="dxa"/>
          </w:tcPr>
          <w:p w14:paraId="157ACB8C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22DF797A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243F8F6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34B2E5B0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4E224F34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1545558F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71503D" w14:paraId="49895278" w14:textId="77777777" w:rsidTr="00CE7A09">
        <w:tc>
          <w:tcPr>
            <w:tcW w:w="5529" w:type="dxa"/>
          </w:tcPr>
          <w:p w14:paraId="58967EDE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>Kogu KOV vara kohta on olemas arvestus.</w:t>
            </w:r>
          </w:p>
        </w:tc>
        <w:tc>
          <w:tcPr>
            <w:tcW w:w="581" w:type="dxa"/>
          </w:tcPr>
          <w:p w14:paraId="208DF460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00E4C5AB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37FECD6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3DADC508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4E6C8970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34E17D1B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71503D" w14:paraId="423F7C67" w14:textId="77777777" w:rsidTr="00CE7A09">
        <w:tc>
          <w:tcPr>
            <w:tcW w:w="5529" w:type="dxa"/>
          </w:tcPr>
          <w:p w14:paraId="342DA162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>Igale KOV varaühikule on määratud vastutaja.</w:t>
            </w:r>
          </w:p>
        </w:tc>
        <w:tc>
          <w:tcPr>
            <w:tcW w:w="581" w:type="dxa"/>
          </w:tcPr>
          <w:p w14:paraId="5594F3A2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4E536F2F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1DD360A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E6F00EA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1382DE69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1E9B2DF9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71503D" w14:paraId="46CDE1D2" w14:textId="77777777" w:rsidTr="00CE7A09">
        <w:tc>
          <w:tcPr>
            <w:tcW w:w="5529" w:type="dxa"/>
          </w:tcPr>
          <w:p w14:paraId="1894582F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>Vara osas toimuvad reaalsed inventuurid, mille tulemuste põhjal korrigeeritakse KOV vara arvestust.</w:t>
            </w:r>
          </w:p>
        </w:tc>
        <w:tc>
          <w:tcPr>
            <w:tcW w:w="581" w:type="dxa"/>
          </w:tcPr>
          <w:p w14:paraId="0E07B19C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5835596E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1B4ADCD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B7C46F8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49BB8C75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3B0841B7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71503D" w14:paraId="3B93F70A" w14:textId="77777777" w:rsidTr="00CE7A09">
        <w:tc>
          <w:tcPr>
            <w:tcW w:w="5529" w:type="dxa"/>
          </w:tcPr>
          <w:p w14:paraId="635D150C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>On määratletud, millal vara omandamine, võõrandamine, kasutusse andmine või koormamine kuulub volikogu ainupädevusse (sh rahalised piirmäärad).</w:t>
            </w:r>
          </w:p>
        </w:tc>
        <w:tc>
          <w:tcPr>
            <w:tcW w:w="581" w:type="dxa"/>
          </w:tcPr>
          <w:p w14:paraId="04FD4C73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046A7826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3900F44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8A665CA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329BD82A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1FC09EAC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71503D" w14:paraId="214CA7DE" w14:textId="77777777" w:rsidTr="00CE7A09">
        <w:tc>
          <w:tcPr>
            <w:tcW w:w="5529" w:type="dxa"/>
          </w:tcPr>
          <w:p w14:paraId="36790A35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 xml:space="preserve">On määratletud, millal vara omandamine, võõrandamine, kasutusse andmine või või koormamine kuulub linna- või vallavalitsuse pädevusse (sh rahalised piirmäärad). </w:t>
            </w:r>
          </w:p>
        </w:tc>
        <w:tc>
          <w:tcPr>
            <w:tcW w:w="581" w:type="dxa"/>
          </w:tcPr>
          <w:p w14:paraId="5C896958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1E9B49DC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66D3E2F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7F772EE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1B00F6D8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0F0A82E8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71503D" w14:paraId="4FCDC21E" w14:textId="77777777" w:rsidTr="00CE7A09">
        <w:tc>
          <w:tcPr>
            <w:tcW w:w="5529" w:type="dxa"/>
          </w:tcPr>
          <w:p w14:paraId="14D0C239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>Vajadusel on määratletud ka, millal vara omandamine, võõrandamine, kasutusse andmine või või koormamine kuulub mõne muu organi pädevusse (sh rahalised piirmäärad).</w:t>
            </w:r>
          </w:p>
        </w:tc>
        <w:tc>
          <w:tcPr>
            <w:tcW w:w="581" w:type="dxa"/>
          </w:tcPr>
          <w:p w14:paraId="27B7BEA1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4F18E9A0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9C76F60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3087DF5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37D4EFCE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7F007677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71503D" w14:paraId="7294E287" w14:textId="77777777" w:rsidTr="00CE7A09">
        <w:tc>
          <w:tcPr>
            <w:tcW w:w="5529" w:type="dxa"/>
          </w:tcPr>
          <w:p w14:paraId="239CE1BA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>Igasugune KOV vara kasutusse andmine (alates summast x</w:t>
            </w:r>
            <w:r w:rsidRPr="0036160B">
              <w:rPr>
                <w:rStyle w:val="Allmrkuseviide"/>
                <w:lang w:val="et-EE"/>
              </w:rPr>
              <w:footnoteReference w:id="1"/>
            </w:r>
            <w:r w:rsidRPr="0036160B">
              <w:rPr>
                <w:lang w:val="et-EE"/>
              </w:rPr>
              <w:t xml:space="preserve"> eurot) toimub vaid lepingu alusel.</w:t>
            </w:r>
          </w:p>
        </w:tc>
        <w:tc>
          <w:tcPr>
            <w:tcW w:w="581" w:type="dxa"/>
          </w:tcPr>
          <w:p w14:paraId="548C5477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26914667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2E46A9D9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67EEA7CC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49A81F44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51C44B98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71503D" w14:paraId="6FFDB557" w14:textId="77777777" w:rsidTr="00CE7A09">
        <w:tc>
          <w:tcPr>
            <w:tcW w:w="5529" w:type="dxa"/>
          </w:tcPr>
          <w:p w14:paraId="54C34CDA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>Kõik KOV vara kasutusse andmise, koormamise ja võõrandamise otsused avalikustatakse.</w:t>
            </w:r>
          </w:p>
        </w:tc>
        <w:tc>
          <w:tcPr>
            <w:tcW w:w="581" w:type="dxa"/>
          </w:tcPr>
          <w:p w14:paraId="6368321E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2F578A75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C677103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37675702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1281B62E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1536BD02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71503D" w14:paraId="23E0262D" w14:textId="77777777" w:rsidTr="00CE7A09">
        <w:tc>
          <w:tcPr>
            <w:tcW w:w="5529" w:type="dxa"/>
          </w:tcPr>
          <w:p w14:paraId="7322AC9C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>Vara antakse kasutusse, koormatakse ja võõrandatakse tavapärasekt enampakkumise teel.</w:t>
            </w:r>
          </w:p>
        </w:tc>
        <w:tc>
          <w:tcPr>
            <w:tcW w:w="581" w:type="dxa"/>
          </w:tcPr>
          <w:p w14:paraId="1444CCFE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2E78EA8A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FCA87CC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7C88AE1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7384B79F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45853F74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71503D" w14:paraId="41C808A7" w14:textId="77777777" w:rsidTr="00CE7A09">
        <w:tc>
          <w:tcPr>
            <w:tcW w:w="5529" w:type="dxa"/>
          </w:tcPr>
          <w:p w14:paraId="69254870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lastRenderedPageBreak/>
              <w:t>Läbiviidavad enampakkumised on avalikud. Kui enampakkumine pole avalik, on mitteavaliku menetluse kasutamise põhjused ära toodud otsuse seletus- või kaaskirjas ning enne menetluse algust heaks kiidetud.</w:t>
            </w:r>
          </w:p>
        </w:tc>
        <w:tc>
          <w:tcPr>
            <w:tcW w:w="581" w:type="dxa"/>
          </w:tcPr>
          <w:p w14:paraId="5658E473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2B4101F8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7F55A09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1A8C0E66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0A110DBD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4B48C55B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36160B" w14:paraId="1E24BC61" w14:textId="77777777" w:rsidTr="00CE7A09">
        <w:tc>
          <w:tcPr>
            <w:tcW w:w="5529" w:type="dxa"/>
          </w:tcPr>
          <w:p w14:paraId="3200CB48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 xml:space="preserve">Vara kasutusse andmise või võõrandamise alghinnad määratakse kas teadaoleva turuväärtuse või eksperthinnangu alusel. Alates määratud summast peab eksperthinnang olema sõltumatu osapoole koostatud. </w:t>
            </w:r>
          </w:p>
        </w:tc>
        <w:tc>
          <w:tcPr>
            <w:tcW w:w="581" w:type="dxa"/>
          </w:tcPr>
          <w:p w14:paraId="6383501D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3FA542E6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2044DA4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3A236F7C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7C78B8E4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3E5A02A8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71503D" w14:paraId="4DBD53FA" w14:textId="77777777" w:rsidTr="00CE7A09">
        <w:tc>
          <w:tcPr>
            <w:tcW w:w="5529" w:type="dxa"/>
          </w:tcPr>
          <w:p w14:paraId="025B8472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>Kui vara võõrandatakse või antakse kasutusse otsustuskorras, põhjendatakse otsuses või selle kaaskirjas/seletuskirjas avalikku huvi, mis lubab vara otsustuskorras kasutusse anda.</w:t>
            </w:r>
          </w:p>
        </w:tc>
        <w:tc>
          <w:tcPr>
            <w:tcW w:w="581" w:type="dxa"/>
          </w:tcPr>
          <w:p w14:paraId="0BF4CD87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497D6BCB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B9D1A9C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0512B55B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39C42014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340F65B3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71503D" w14:paraId="5603E2A2" w14:textId="77777777" w:rsidTr="00CE7A09">
        <w:tc>
          <w:tcPr>
            <w:tcW w:w="5529" w:type="dxa"/>
          </w:tcPr>
          <w:p w14:paraId="734B7063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>Vara omandamisel, võõrandamisel, kasutusse andmisel koostatakse alati akt, mis sätestab vara seisukorra (et vältida hilisemat alusetute nõuete esitamist).</w:t>
            </w:r>
          </w:p>
        </w:tc>
        <w:tc>
          <w:tcPr>
            <w:tcW w:w="581" w:type="dxa"/>
          </w:tcPr>
          <w:p w14:paraId="30238C9D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5ED6263F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886161A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2B0ACDC5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5884CEBD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79FC1022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71503D" w14:paraId="5EBBAB3A" w14:textId="77777777" w:rsidTr="00CE7A09">
        <w:tc>
          <w:tcPr>
            <w:tcW w:w="5529" w:type="dxa"/>
          </w:tcPr>
          <w:p w14:paraId="6E1A4B79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>On koostatud reeglid KOV vara maha kandmiseks.</w:t>
            </w:r>
          </w:p>
        </w:tc>
        <w:tc>
          <w:tcPr>
            <w:tcW w:w="581" w:type="dxa"/>
          </w:tcPr>
          <w:p w14:paraId="01CE4D02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626CF681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9399639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0144CDA5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4791EA9D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43E2614D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71503D" w14:paraId="247B2D36" w14:textId="77777777" w:rsidTr="00CE7A09">
        <w:tc>
          <w:tcPr>
            <w:tcW w:w="5529" w:type="dxa"/>
          </w:tcPr>
          <w:p w14:paraId="60A4AB42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>Maha kantud vara kohta koostatakse akt, mis sisaldab vähemalt maha kantud vara kirjeldust, maha kandmise põhjust ning hävitamise või utiliseerimise viisi.</w:t>
            </w:r>
          </w:p>
        </w:tc>
        <w:tc>
          <w:tcPr>
            <w:tcW w:w="581" w:type="dxa"/>
          </w:tcPr>
          <w:p w14:paraId="284ADEFE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5B596BD9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08B38CE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80EE990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7F231206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7F7772C7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71503D" w14:paraId="130CF05B" w14:textId="77777777" w:rsidTr="00CE7A09">
        <w:tc>
          <w:tcPr>
            <w:tcW w:w="5529" w:type="dxa"/>
          </w:tcPr>
          <w:p w14:paraId="24824045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>Kui maha kantakse nõue, peab olema sätestatud piir, millest suuremate nõuete maha kandmise otsustab volikogu.</w:t>
            </w:r>
          </w:p>
        </w:tc>
        <w:tc>
          <w:tcPr>
            <w:tcW w:w="581" w:type="dxa"/>
          </w:tcPr>
          <w:p w14:paraId="33E84DC4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71FC229B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0C87C4E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5655C108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32DB441F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20D1288A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71503D" w14:paraId="4931339D" w14:textId="77777777" w:rsidTr="00CE7A09">
        <w:tc>
          <w:tcPr>
            <w:tcW w:w="5529" w:type="dxa"/>
          </w:tcPr>
          <w:p w14:paraId="726D8BB4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>Vara kasutamisega seotud reeglid kehtivad ka hallatavatele asutustele (summapiirid on identsed linna- või valla valitsusele kehtivatega).</w:t>
            </w:r>
          </w:p>
        </w:tc>
        <w:tc>
          <w:tcPr>
            <w:tcW w:w="581" w:type="dxa"/>
          </w:tcPr>
          <w:p w14:paraId="6F955E84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5057DDF8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5EB6236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22399C5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6ACEE079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1D866DDB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71503D" w14:paraId="205008D8" w14:textId="77777777" w:rsidTr="00CE7A09">
        <w:tc>
          <w:tcPr>
            <w:tcW w:w="5529" w:type="dxa"/>
          </w:tcPr>
          <w:p w14:paraId="7F95EBB1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>KOV vara kasutamise (ost, müük, teenitud tulu) kohta koostatakse perioodiliselt (nt aasta) aruanne ja see avalikustatakse.</w:t>
            </w:r>
          </w:p>
        </w:tc>
        <w:tc>
          <w:tcPr>
            <w:tcW w:w="581" w:type="dxa"/>
          </w:tcPr>
          <w:p w14:paraId="357FE774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06DF1440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7189D30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46530E48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7B57C3CF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70FFCC5D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36160B" w14:paraId="6446BFF3" w14:textId="77777777" w:rsidTr="00CE7A09">
        <w:tc>
          <w:tcPr>
            <w:tcW w:w="5529" w:type="dxa"/>
          </w:tcPr>
          <w:p w14:paraId="39700017" w14:textId="77777777" w:rsidR="005445ED" w:rsidRPr="0036160B" w:rsidRDefault="005445ED" w:rsidP="00CE7A09">
            <w:pPr>
              <w:rPr>
                <w:b/>
                <w:lang w:val="et-EE"/>
              </w:rPr>
            </w:pPr>
            <w:r w:rsidRPr="0036160B">
              <w:rPr>
                <w:b/>
                <w:lang w:val="et-EE"/>
              </w:rPr>
              <w:t>KOV osalusega juriidilised isikud</w:t>
            </w:r>
          </w:p>
        </w:tc>
        <w:tc>
          <w:tcPr>
            <w:tcW w:w="581" w:type="dxa"/>
          </w:tcPr>
          <w:p w14:paraId="18C03FFC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226360EB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989DDF4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1914B787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4AD1805F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62369D8B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36160B" w14:paraId="41D5DC56" w14:textId="77777777" w:rsidTr="00CE7A09">
        <w:tc>
          <w:tcPr>
            <w:tcW w:w="5529" w:type="dxa"/>
          </w:tcPr>
          <w:p w14:paraId="093EC10C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t>Kui vara kuulub KOV omanduses olevale äriühingule, sihtasutusele või MTÜle, kehtivad analoogsed reeglid ka nende jaoks.</w:t>
            </w:r>
          </w:p>
        </w:tc>
        <w:tc>
          <w:tcPr>
            <w:tcW w:w="581" w:type="dxa"/>
          </w:tcPr>
          <w:p w14:paraId="47808ED3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29F4079A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1D45559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19DAE5DD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7DB12167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0F5B6F9F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  <w:tr w:rsidR="005445ED" w:rsidRPr="0071503D" w14:paraId="320A9F21" w14:textId="77777777" w:rsidTr="00CE7A09">
        <w:tc>
          <w:tcPr>
            <w:tcW w:w="5529" w:type="dxa"/>
          </w:tcPr>
          <w:p w14:paraId="4472A436" w14:textId="77777777" w:rsidR="005445ED" w:rsidRPr="0036160B" w:rsidRDefault="005445ED" w:rsidP="005445ED">
            <w:pPr>
              <w:pStyle w:val="Loendilik"/>
              <w:numPr>
                <w:ilvl w:val="0"/>
                <w:numId w:val="8"/>
              </w:numPr>
              <w:rPr>
                <w:lang w:val="et-EE"/>
              </w:rPr>
            </w:pPr>
            <w:r w:rsidRPr="0036160B">
              <w:rPr>
                <w:lang w:val="et-EE"/>
              </w:rPr>
              <w:lastRenderedPageBreak/>
              <w:t xml:space="preserve">On sätestatud (rahalised) piirmäärad juhatuse, nõukogu ning omanikuõiguste teostaja pädevuses olevate tehingute jaoks. </w:t>
            </w:r>
          </w:p>
        </w:tc>
        <w:tc>
          <w:tcPr>
            <w:tcW w:w="581" w:type="dxa"/>
          </w:tcPr>
          <w:p w14:paraId="7D1284B4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1" w:type="dxa"/>
          </w:tcPr>
          <w:p w14:paraId="4A79EC78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27193D5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583" w:type="dxa"/>
          </w:tcPr>
          <w:p w14:paraId="1A411CDC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4230" w:type="dxa"/>
          </w:tcPr>
          <w:p w14:paraId="4EFCEC87" w14:textId="77777777" w:rsidR="005445ED" w:rsidRPr="0036160B" w:rsidRDefault="005445ED" w:rsidP="00CE7A09">
            <w:pPr>
              <w:rPr>
                <w:lang w:val="et-EE"/>
              </w:rPr>
            </w:pPr>
          </w:p>
        </w:tc>
        <w:tc>
          <w:tcPr>
            <w:tcW w:w="3664" w:type="dxa"/>
          </w:tcPr>
          <w:p w14:paraId="580AD141" w14:textId="77777777" w:rsidR="005445ED" w:rsidRPr="0036160B" w:rsidRDefault="005445ED" w:rsidP="00CE7A09">
            <w:pPr>
              <w:rPr>
                <w:lang w:val="et-EE"/>
              </w:rPr>
            </w:pPr>
          </w:p>
        </w:tc>
      </w:tr>
    </w:tbl>
    <w:p w14:paraId="70131C3B" w14:textId="77777777" w:rsidR="00690A3E" w:rsidRPr="0036160B" w:rsidRDefault="00690A3E" w:rsidP="00690A3E">
      <w:pPr>
        <w:pStyle w:val="Kehatekst"/>
        <w:rPr>
          <w:lang w:val="et-EE"/>
        </w:rPr>
      </w:pPr>
    </w:p>
    <w:p w14:paraId="24B7986D" w14:textId="310C8BEA" w:rsidR="005355F7" w:rsidRPr="0036160B" w:rsidRDefault="005355F7" w:rsidP="005355F7">
      <w:pPr>
        <w:pStyle w:val="Kehatekst"/>
        <w:rPr>
          <w:b/>
          <w:lang w:val="et-EE"/>
        </w:rPr>
      </w:pPr>
    </w:p>
    <w:p w14:paraId="18EF506D" w14:textId="77777777" w:rsidR="005355F7" w:rsidRPr="0036160B" w:rsidRDefault="005355F7" w:rsidP="005355F7">
      <w:pPr>
        <w:pStyle w:val="Kehatekst"/>
        <w:rPr>
          <w:lang w:val="et-EE"/>
        </w:rPr>
      </w:pPr>
    </w:p>
    <w:p w14:paraId="2FED2271" w14:textId="77777777" w:rsidR="005355F7" w:rsidRPr="0036160B" w:rsidRDefault="005355F7" w:rsidP="005355F7">
      <w:pPr>
        <w:pStyle w:val="Kehatekst"/>
        <w:rPr>
          <w:lang w:val="et-EE"/>
        </w:rPr>
      </w:pPr>
    </w:p>
    <w:p w14:paraId="0D13AB9F" w14:textId="77777777" w:rsidR="005355F7" w:rsidRPr="00283C13" w:rsidRDefault="005355F7" w:rsidP="00283C13">
      <w:pPr>
        <w:pStyle w:val="Kehatekst"/>
        <w:rPr>
          <w:lang w:val="et-EE"/>
        </w:rPr>
      </w:pPr>
    </w:p>
    <w:p w14:paraId="62E0DC8F" w14:textId="77777777" w:rsidR="00283C13" w:rsidRDefault="00283C13"/>
    <w:sectPr w:rsidR="00283C13" w:rsidSect="00283C13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AE34" w14:textId="77777777" w:rsidR="00283C13" w:rsidRDefault="00283C13" w:rsidP="00283C13">
      <w:r>
        <w:separator/>
      </w:r>
    </w:p>
  </w:endnote>
  <w:endnote w:type="continuationSeparator" w:id="0">
    <w:p w14:paraId="465D45BB" w14:textId="77777777" w:rsidR="00283C13" w:rsidRDefault="00283C13" w:rsidP="0028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KPMG Logo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0BAA" w14:textId="77777777" w:rsidR="00283C13" w:rsidRDefault="00283C13" w:rsidP="00283C13">
      <w:r>
        <w:separator/>
      </w:r>
    </w:p>
  </w:footnote>
  <w:footnote w:type="continuationSeparator" w:id="0">
    <w:p w14:paraId="01BB3C73" w14:textId="77777777" w:rsidR="00283C13" w:rsidRDefault="00283C13" w:rsidP="00283C13">
      <w:r>
        <w:continuationSeparator/>
      </w:r>
    </w:p>
  </w:footnote>
  <w:footnote w:id="1">
    <w:p w14:paraId="5C8779C5" w14:textId="77777777" w:rsidR="005445ED" w:rsidRPr="00CD76B1" w:rsidRDefault="005445ED" w:rsidP="005445ED">
      <w:pPr>
        <w:pStyle w:val="Allmrkusetekst"/>
        <w:rPr>
          <w:lang w:val="fi-FI"/>
        </w:rPr>
      </w:pPr>
      <w:r>
        <w:rPr>
          <w:rStyle w:val="Allmrkuseviide"/>
        </w:rPr>
        <w:footnoteRef/>
      </w:r>
      <w:r w:rsidRPr="00CD76B1">
        <w:rPr>
          <w:lang w:val="fi-FI"/>
        </w:rPr>
        <w:t xml:space="preserve"> </w:t>
      </w:r>
      <w:r>
        <w:rPr>
          <w:lang w:val="et-EE"/>
        </w:rPr>
        <w:t>O</w:t>
      </w:r>
      <w:r w:rsidRPr="000B4078">
        <w:rPr>
          <w:lang w:val="et-EE"/>
        </w:rPr>
        <w:t>lenevalt omavalitsuses otsustatust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578" w14:textId="51614F32" w:rsidR="00283C13" w:rsidRDefault="00283C13">
    <w:pPr>
      <w:pStyle w:val="Pis"/>
    </w:pPr>
    <w:r>
      <w:rPr>
        <w:rFonts w:ascii="KPMG Logo" w:hAnsi="KPMG Logo"/>
        <w:i/>
        <w:noProof/>
        <w:sz w:val="43"/>
        <w:szCs w:val="44"/>
        <w:lang w:val="et-EE" w:eastAsia="et-EE"/>
      </w:rPr>
      <w:drawing>
        <wp:anchor distT="0" distB="0" distL="114300" distR="114300" simplePos="0" relativeHeight="251659264" behindDoc="0" locked="0" layoutInCell="1" allowOverlap="1" wp14:anchorId="43C83CF5" wp14:editId="7813FD03">
          <wp:simplePos x="0" y="0"/>
          <wp:positionH relativeFrom="margin">
            <wp:align>left</wp:align>
          </wp:positionH>
          <wp:positionV relativeFrom="topMargin">
            <wp:posOffset>314325</wp:posOffset>
          </wp:positionV>
          <wp:extent cx="685800" cy="26987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Detsember</w:t>
    </w:r>
    <w:proofErr w:type="spellEnd"/>
    <w:r>
      <w:t xml:space="preserve"> 2018</w:t>
    </w:r>
  </w:p>
  <w:p w14:paraId="1D2806CF" w14:textId="77777777" w:rsidR="005355F7" w:rsidRDefault="005355F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28442818"/>
    <w:lvl w:ilvl="0" w:tplc="9AAC2928">
      <w:start w:val="1"/>
      <w:numFmt w:val="bullet"/>
      <w:pStyle w:val="Loenditpp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66A"/>
    <w:multiLevelType w:val="multilevel"/>
    <w:tmpl w:val="492C8D34"/>
    <w:lvl w:ilvl="0">
      <w:start w:val="1"/>
      <w:numFmt w:val="decimal"/>
      <w:pStyle w:val="Pealkiri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Pealkiri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Pealkiri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BBD078C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257159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050BE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0C4C93"/>
    <w:multiLevelType w:val="hybridMultilevel"/>
    <w:tmpl w:val="DC6CD9E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017F9D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7A3F91"/>
    <w:multiLevelType w:val="multilevel"/>
    <w:tmpl w:val="DC6CD9E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13"/>
    <w:rsid w:val="00283C13"/>
    <w:rsid w:val="005355F7"/>
    <w:rsid w:val="005445ED"/>
    <w:rsid w:val="00690A3E"/>
    <w:rsid w:val="008D5455"/>
    <w:rsid w:val="00A757AF"/>
    <w:rsid w:val="00D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B2CD"/>
  <w15:chartTrackingRefBased/>
  <w15:docId w15:val="{4D8A9CB7-6597-406E-B298-B6FCF8A2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83C13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Pealkiri1">
    <w:name w:val="heading 1"/>
    <w:basedOn w:val="Pealkiri2"/>
    <w:next w:val="Kehatekst"/>
    <w:link w:val="Pealkiri1Mrk"/>
    <w:qFormat/>
    <w:rsid w:val="00283C13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Pealkiri2">
    <w:name w:val="heading 2"/>
    <w:basedOn w:val="Kehatekst"/>
    <w:next w:val="Kehatekst"/>
    <w:link w:val="Pealkiri2Mrk"/>
    <w:qFormat/>
    <w:rsid w:val="00283C13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color w:val="00338D"/>
      <w:sz w:val="28"/>
      <w:lang w:val="fi-FI"/>
    </w:rPr>
  </w:style>
  <w:style w:type="paragraph" w:styleId="Pealkiri3">
    <w:name w:val="heading 3"/>
    <w:basedOn w:val="Pealkiri4"/>
    <w:next w:val="Kehatekst"/>
    <w:link w:val="Pealkiri3Mrk"/>
    <w:qFormat/>
    <w:rsid w:val="00283C13"/>
    <w:pPr>
      <w:numPr>
        <w:ilvl w:val="2"/>
      </w:numPr>
      <w:outlineLvl w:val="2"/>
    </w:pPr>
    <w:rPr>
      <w:b/>
      <w:i w:val="0"/>
    </w:rPr>
  </w:style>
  <w:style w:type="paragraph" w:styleId="Pealkiri4">
    <w:name w:val="heading 4"/>
    <w:basedOn w:val="Pealkiri5"/>
    <w:next w:val="Kehatekst"/>
    <w:link w:val="Pealkiri4Mrk"/>
    <w:qFormat/>
    <w:rsid w:val="00283C13"/>
    <w:pPr>
      <w:keepLines w:val="0"/>
      <w:numPr>
        <w:ilvl w:val="3"/>
        <w:numId w:val="1"/>
      </w:numPr>
      <w:spacing w:before="400" w:line="280" w:lineRule="exact"/>
      <w:outlineLvl w:val="3"/>
    </w:pPr>
    <w:rPr>
      <w:rFonts w:ascii="Arial" w:eastAsia="Times New Roman" w:hAnsi="Arial" w:cs="Times New Roman"/>
      <w:i/>
      <w:color w:val="00338D"/>
      <w:sz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83C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83C13"/>
    <w:rPr>
      <w:rFonts w:ascii="Arial" w:eastAsia="Times New Roman" w:hAnsi="Arial" w:cs="Times New Roman"/>
      <w:b/>
      <w:color w:val="00338D"/>
      <w:sz w:val="32"/>
      <w:szCs w:val="20"/>
      <w:lang w:val="fi-FI"/>
    </w:rPr>
  </w:style>
  <w:style w:type="character" w:customStyle="1" w:styleId="Pealkiri2Mrk">
    <w:name w:val="Pealkiri 2 Märk"/>
    <w:basedOn w:val="Liguvaikefont"/>
    <w:link w:val="Pealkiri2"/>
    <w:rsid w:val="00283C13"/>
    <w:rPr>
      <w:rFonts w:ascii="Arial" w:eastAsia="Times New Roman" w:hAnsi="Arial" w:cs="Times New Roman"/>
      <w:b/>
      <w:color w:val="00338D"/>
      <w:sz w:val="28"/>
      <w:szCs w:val="20"/>
      <w:lang w:val="fi-FI"/>
    </w:rPr>
  </w:style>
  <w:style w:type="character" w:customStyle="1" w:styleId="Pealkiri3Mrk">
    <w:name w:val="Pealkiri 3 Märk"/>
    <w:basedOn w:val="Liguvaikefont"/>
    <w:link w:val="Pealkiri3"/>
    <w:rsid w:val="00283C13"/>
    <w:rPr>
      <w:rFonts w:ascii="Arial" w:eastAsia="Times New Roman" w:hAnsi="Arial" w:cs="Times New Roman"/>
      <w:b/>
      <w:color w:val="00338D"/>
      <w:sz w:val="24"/>
      <w:szCs w:val="20"/>
      <w:lang w:val="en-US"/>
    </w:rPr>
  </w:style>
  <w:style w:type="character" w:customStyle="1" w:styleId="Pealkiri4Mrk">
    <w:name w:val="Pealkiri 4 Märk"/>
    <w:basedOn w:val="Liguvaikefont"/>
    <w:link w:val="Pealkiri4"/>
    <w:rsid w:val="00283C13"/>
    <w:rPr>
      <w:rFonts w:ascii="Arial" w:eastAsia="Times New Roman" w:hAnsi="Arial" w:cs="Times New Roman"/>
      <w:i/>
      <w:color w:val="00338D"/>
      <w:sz w:val="24"/>
      <w:szCs w:val="20"/>
      <w:lang w:val="en-US"/>
    </w:rPr>
  </w:style>
  <w:style w:type="paragraph" w:styleId="Allmrkusetekst">
    <w:name w:val="footnote text"/>
    <w:basedOn w:val="Normaallaad"/>
    <w:link w:val="AllmrkusetekstMrk"/>
    <w:uiPriority w:val="99"/>
    <w:rsid w:val="00283C13"/>
    <w:rPr>
      <w:sz w:val="18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283C13"/>
    <w:rPr>
      <w:rFonts w:ascii="Arial" w:eastAsia="Times New Roman" w:hAnsi="Arial" w:cs="Times New Roman"/>
      <w:sz w:val="18"/>
      <w:szCs w:val="20"/>
      <w:lang w:val="en-US"/>
    </w:rPr>
  </w:style>
  <w:style w:type="paragraph" w:styleId="Loendilik">
    <w:name w:val="List Paragraph"/>
    <w:basedOn w:val="Normaallaad"/>
    <w:uiPriority w:val="34"/>
    <w:unhideWhenUsed/>
    <w:qFormat/>
    <w:rsid w:val="00283C1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283C13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28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llmrkuseviide">
    <w:name w:val="footnote reference"/>
    <w:basedOn w:val="Liguvaikefont"/>
    <w:uiPriority w:val="99"/>
    <w:semiHidden/>
    <w:unhideWhenUsed/>
    <w:rsid w:val="00283C13"/>
    <w:rPr>
      <w:vertAlign w:val="superscript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83C13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283C13"/>
    <w:rPr>
      <w:rFonts w:ascii="Arial" w:eastAsia="Times New Roman" w:hAnsi="Arial" w:cs="Times New Roman"/>
      <w:szCs w:val="20"/>
      <w:lang w:val="en-US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83C13"/>
    <w:rPr>
      <w:rFonts w:asciiTheme="majorHAnsi" w:eastAsiaTheme="majorEastAsia" w:hAnsiTheme="majorHAnsi" w:cstheme="majorBidi"/>
      <w:color w:val="2F5496" w:themeColor="accent1" w:themeShade="BF"/>
      <w:szCs w:val="20"/>
      <w:lang w:val="en-US"/>
    </w:rPr>
  </w:style>
  <w:style w:type="paragraph" w:styleId="Pis">
    <w:name w:val="header"/>
    <w:basedOn w:val="Normaallaad"/>
    <w:link w:val="PisMrk"/>
    <w:uiPriority w:val="99"/>
    <w:unhideWhenUsed/>
    <w:rsid w:val="00283C1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83C13"/>
    <w:rPr>
      <w:rFonts w:ascii="Arial" w:eastAsia="Times New Roman" w:hAnsi="Arial" w:cs="Times New Roman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283C1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83C13"/>
    <w:rPr>
      <w:rFonts w:ascii="Arial" w:eastAsia="Times New Roman" w:hAnsi="Arial" w:cs="Times New Roman"/>
      <w:szCs w:val="20"/>
      <w:lang w:val="en-US"/>
    </w:rPr>
  </w:style>
  <w:style w:type="paragraph" w:styleId="Loenditpp">
    <w:name w:val="List Bullet"/>
    <w:basedOn w:val="Kehatekst"/>
    <w:qFormat/>
    <w:rsid w:val="005355F7"/>
    <w:pPr>
      <w:numPr>
        <w:numId w:val="3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Kaie Küngas</dc:creator>
  <cp:keywords/>
  <dc:description/>
  <cp:lastModifiedBy>Kaie Küngas</cp:lastModifiedBy>
  <cp:revision>2</cp:revision>
  <dcterms:created xsi:type="dcterms:W3CDTF">2022-01-28T12:32:00Z</dcterms:created>
  <dcterms:modified xsi:type="dcterms:W3CDTF">2022-01-28T12:32:00Z</dcterms:modified>
</cp:coreProperties>
</file>