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50F8" w14:textId="010930E2" w:rsidR="00D52D90" w:rsidRDefault="00D52D90" w:rsidP="00D52D90">
      <w:pPr>
        <w:pStyle w:val="Pealkiri4"/>
        <w:numPr>
          <w:ilvl w:val="0"/>
          <w:numId w:val="0"/>
        </w:numPr>
        <w:rPr>
          <w:lang w:val="et-EE"/>
        </w:rPr>
      </w:pPr>
      <w:bookmarkStart w:id="0" w:name="_Toc531938854"/>
      <w:r w:rsidRPr="0036160B">
        <w:rPr>
          <w:lang w:val="et-EE"/>
        </w:rPr>
        <w:t>Taotluste menetlemise kontroll-leht</w:t>
      </w:r>
      <w:bookmarkEnd w:id="0"/>
    </w:p>
    <w:p w14:paraId="58A4F510" w14:textId="77777777" w:rsidR="00D52D90" w:rsidRPr="00D52D90" w:rsidRDefault="00D52D90" w:rsidP="00D52D90">
      <w:pPr>
        <w:pStyle w:val="Kehatekst"/>
        <w:rPr>
          <w:lang w:val="et-EE"/>
        </w:rPr>
      </w:pPr>
    </w:p>
    <w:tbl>
      <w:tblPr>
        <w:tblStyle w:val="Kontuurtabel"/>
        <w:tblW w:w="15460" w:type="dxa"/>
        <w:tblInd w:w="-572" w:type="dxa"/>
        <w:tblLook w:val="04A0" w:firstRow="1" w:lastRow="0" w:firstColumn="1" w:lastColumn="0" w:noHBand="0" w:noVBand="1"/>
      </w:tblPr>
      <w:tblGrid>
        <w:gridCol w:w="5394"/>
        <w:gridCol w:w="581"/>
        <w:gridCol w:w="425"/>
        <w:gridCol w:w="583"/>
        <w:gridCol w:w="4229"/>
        <w:gridCol w:w="4248"/>
      </w:tblGrid>
      <w:tr w:rsidR="00D52D90" w:rsidRPr="0036160B" w14:paraId="74AE90BC" w14:textId="77777777" w:rsidTr="00CE7A09">
        <w:trPr>
          <w:tblHeader/>
        </w:trPr>
        <w:tc>
          <w:tcPr>
            <w:tcW w:w="5394" w:type="dxa"/>
            <w:shd w:val="clear" w:color="auto" w:fill="D9D9D9" w:themeFill="background1" w:themeFillShade="D9"/>
          </w:tcPr>
          <w:p w14:paraId="0F0F2672" w14:textId="77777777" w:rsidR="00D52D90" w:rsidRPr="0036160B" w:rsidRDefault="00D52D90" w:rsidP="00CE7A09">
            <w:pPr>
              <w:rPr>
                <w:lang w:val="et-EE"/>
              </w:rPr>
            </w:pPr>
            <w:r w:rsidRPr="0036160B">
              <w:rPr>
                <w:lang w:val="et-EE"/>
              </w:rPr>
              <w:t>Printsiip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14:paraId="5342898D" w14:textId="77777777" w:rsidR="00D52D90" w:rsidRPr="0036160B" w:rsidRDefault="00D52D90" w:rsidP="00CE7A09">
            <w:pPr>
              <w:rPr>
                <w:lang w:val="et-EE"/>
              </w:rPr>
            </w:pPr>
            <w:r w:rsidRPr="0036160B">
              <w:rPr>
                <w:lang w:val="et-EE"/>
              </w:rPr>
              <w:t xml:space="preserve">Jah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AA3D185" w14:textId="77777777" w:rsidR="00D52D90" w:rsidRPr="0036160B" w:rsidRDefault="00D52D90" w:rsidP="00CE7A09">
            <w:pPr>
              <w:rPr>
                <w:lang w:val="et-EE"/>
              </w:rPr>
            </w:pPr>
            <w:r w:rsidRPr="0036160B">
              <w:rPr>
                <w:lang w:val="et-EE"/>
              </w:rPr>
              <w:t xml:space="preserve">Ei 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14:paraId="39A9B95A" w14:textId="77777777" w:rsidR="00D52D90" w:rsidRPr="0036160B" w:rsidRDefault="00D52D90" w:rsidP="00CE7A09">
            <w:pPr>
              <w:rPr>
                <w:lang w:val="et-EE"/>
              </w:rPr>
            </w:pPr>
            <w:r w:rsidRPr="0036160B">
              <w:rPr>
                <w:lang w:val="et-EE"/>
              </w:rPr>
              <w:t>N/A</w:t>
            </w:r>
          </w:p>
        </w:tc>
        <w:tc>
          <w:tcPr>
            <w:tcW w:w="4229" w:type="dxa"/>
            <w:shd w:val="clear" w:color="auto" w:fill="D9D9D9" w:themeFill="background1" w:themeFillShade="D9"/>
          </w:tcPr>
          <w:p w14:paraId="3F3889F6" w14:textId="77777777" w:rsidR="00D52D90" w:rsidRPr="0036160B" w:rsidRDefault="00D52D90" w:rsidP="00CE7A09">
            <w:pPr>
              <w:rPr>
                <w:lang w:val="et-EE"/>
              </w:rPr>
            </w:pPr>
            <w:r w:rsidRPr="0036160B">
              <w:rPr>
                <w:lang w:val="et-EE"/>
              </w:rPr>
              <w:t>Mitterakendamise põhjendus („ei“ korral)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14:paraId="77117B27" w14:textId="77777777" w:rsidR="00D52D90" w:rsidRPr="0036160B" w:rsidRDefault="00D52D90" w:rsidP="00CE7A09">
            <w:pPr>
              <w:rPr>
                <w:lang w:val="et-EE"/>
              </w:rPr>
            </w:pPr>
            <w:r w:rsidRPr="0036160B">
              <w:rPr>
                <w:lang w:val="et-EE"/>
              </w:rPr>
              <w:t xml:space="preserve">Kommentaar </w:t>
            </w:r>
          </w:p>
        </w:tc>
      </w:tr>
      <w:tr w:rsidR="00D52D90" w:rsidRPr="0036160B" w14:paraId="03A49399" w14:textId="77777777" w:rsidTr="00CE7A09">
        <w:tc>
          <w:tcPr>
            <w:tcW w:w="5394" w:type="dxa"/>
          </w:tcPr>
          <w:p w14:paraId="67F36904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Taotluse täitmiseks vajalikud nõuded on kehtestatud KOV õigusaktiga.</w:t>
            </w:r>
          </w:p>
        </w:tc>
        <w:tc>
          <w:tcPr>
            <w:tcW w:w="581" w:type="dxa"/>
          </w:tcPr>
          <w:p w14:paraId="0010ADE0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1AEB21AD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49779F46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0D26151A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090443AA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36160B" w14:paraId="40CB0390" w14:textId="77777777" w:rsidTr="00CE7A09">
        <w:tc>
          <w:tcPr>
            <w:tcW w:w="5394" w:type="dxa"/>
          </w:tcPr>
          <w:p w14:paraId="5BBF08F5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Taotluse täitmiseks vajalikud nõuded on täies ulatuses avalikult kõigile soovijatele kättesaadavad.</w:t>
            </w:r>
          </w:p>
        </w:tc>
        <w:tc>
          <w:tcPr>
            <w:tcW w:w="581" w:type="dxa"/>
          </w:tcPr>
          <w:p w14:paraId="4AC77792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6142EA56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5F24DE53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24720460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451E91C5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36160B" w14:paraId="16329517" w14:textId="77777777" w:rsidTr="00CE7A09">
        <w:tc>
          <w:tcPr>
            <w:tcW w:w="5394" w:type="dxa"/>
          </w:tcPr>
          <w:p w14:paraId="475492B7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Taotluse vorm(id) on avalikustatud (koduleht, kirjalikud vormid KOV hoonetes).</w:t>
            </w:r>
          </w:p>
        </w:tc>
        <w:tc>
          <w:tcPr>
            <w:tcW w:w="581" w:type="dxa"/>
          </w:tcPr>
          <w:p w14:paraId="128D436F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5060C1B4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2AF40210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6DFFFA53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10332C2E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36160B" w14:paraId="148D406C" w14:textId="77777777" w:rsidTr="00CE7A09">
        <w:tc>
          <w:tcPr>
            <w:tcW w:w="5394" w:type="dxa"/>
          </w:tcPr>
          <w:p w14:paraId="2D8E458F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Kõik saadud taotlused registreeritakse koheselt.</w:t>
            </w:r>
          </w:p>
        </w:tc>
        <w:tc>
          <w:tcPr>
            <w:tcW w:w="581" w:type="dxa"/>
          </w:tcPr>
          <w:p w14:paraId="460F4D40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541362F8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06C8B251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5C6D8851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711382C9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71503D" w14:paraId="5B98D0BC" w14:textId="77777777" w:rsidTr="00CE7A09">
        <w:tc>
          <w:tcPr>
            <w:tcW w:w="5394" w:type="dxa"/>
          </w:tcPr>
          <w:p w14:paraId="09ED3C30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Taotluste register ei võimalda logimata kustutusi/</w:t>
            </w:r>
            <w:proofErr w:type="spellStart"/>
            <w:r w:rsidRPr="0036160B">
              <w:rPr>
                <w:lang w:val="et-EE"/>
              </w:rPr>
              <w:t>juurdekirjutusi</w:t>
            </w:r>
            <w:proofErr w:type="spellEnd"/>
            <w:r w:rsidRPr="0036160B">
              <w:rPr>
                <w:lang w:val="et-EE"/>
              </w:rPr>
              <w:t>.</w:t>
            </w:r>
          </w:p>
        </w:tc>
        <w:tc>
          <w:tcPr>
            <w:tcW w:w="581" w:type="dxa"/>
          </w:tcPr>
          <w:p w14:paraId="6D2AC5D1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1CF3CE9A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50499E2B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3345C89D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172E0595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71503D" w14:paraId="35BF8D5C" w14:textId="77777777" w:rsidTr="00CE7A09">
        <w:tc>
          <w:tcPr>
            <w:tcW w:w="5394" w:type="dxa"/>
          </w:tcPr>
          <w:p w14:paraId="108CB190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Kõik taotlused ja nendega koos esitatud dokumendid säilitatakse koos ja sama tähtaja jooksul.</w:t>
            </w:r>
          </w:p>
        </w:tc>
        <w:tc>
          <w:tcPr>
            <w:tcW w:w="581" w:type="dxa"/>
          </w:tcPr>
          <w:p w14:paraId="00849F0F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7AD6A955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182B2C80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4B56EADD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607CFB3F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71503D" w14:paraId="52408984" w14:textId="77777777" w:rsidTr="00CE7A09">
        <w:tc>
          <w:tcPr>
            <w:tcW w:w="5394" w:type="dxa"/>
          </w:tcPr>
          <w:p w14:paraId="109EC45D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Kui taotluses sisaldub vigu, antakse nendest koheselt (esimesel võimalusel) taotlejale teada.</w:t>
            </w:r>
          </w:p>
        </w:tc>
        <w:tc>
          <w:tcPr>
            <w:tcW w:w="581" w:type="dxa"/>
          </w:tcPr>
          <w:p w14:paraId="35DFD145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666C015B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587CF03A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4C18B7B0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6B4BB3E0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71503D" w14:paraId="0D2D1877" w14:textId="77777777" w:rsidTr="00CE7A09">
        <w:tc>
          <w:tcPr>
            <w:tcW w:w="5394" w:type="dxa"/>
          </w:tcPr>
          <w:p w14:paraId="10E87196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Kui taotlustest moodustub järjekord, on järjekorrainfo (ja seal liikumine) avalik.</w:t>
            </w:r>
          </w:p>
        </w:tc>
        <w:tc>
          <w:tcPr>
            <w:tcW w:w="581" w:type="dxa"/>
          </w:tcPr>
          <w:p w14:paraId="405A38CC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6041B184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5343F2C3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70C50C90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527FD577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71503D" w14:paraId="1873B446" w14:textId="77777777" w:rsidTr="00CE7A09">
        <w:tc>
          <w:tcPr>
            <w:tcW w:w="5394" w:type="dxa"/>
          </w:tcPr>
          <w:p w14:paraId="161045BB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Taotlejatele antakse taotluse menetlemisest ühetaolist infot.</w:t>
            </w:r>
          </w:p>
        </w:tc>
        <w:tc>
          <w:tcPr>
            <w:tcW w:w="581" w:type="dxa"/>
          </w:tcPr>
          <w:p w14:paraId="094FC8C4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54D5B2A9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2533E4B9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52DA5330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1CB64B4E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71503D" w14:paraId="13EF1B8E" w14:textId="77777777" w:rsidTr="00CE7A09">
        <w:tc>
          <w:tcPr>
            <w:tcW w:w="5394" w:type="dxa"/>
          </w:tcPr>
          <w:p w14:paraId="29D7991A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Taotlejatele ei looda ei tahtlikult ega tahtmatult ebavõrdseid eeliseid</w:t>
            </w:r>
            <w:r w:rsidRPr="0036160B">
              <w:rPr>
                <w:vertAlign w:val="superscript"/>
                <w:lang w:val="et-EE"/>
              </w:rPr>
              <w:t xml:space="preserve"> </w:t>
            </w:r>
            <w:r w:rsidRPr="0036160B">
              <w:rPr>
                <w:lang w:val="et-EE"/>
              </w:rPr>
              <w:t>(nt info jagamine, erinevate nõuete rakendamine, erinev järjekorras liikumise kiirus jne).</w:t>
            </w:r>
          </w:p>
        </w:tc>
        <w:tc>
          <w:tcPr>
            <w:tcW w:w="581" w:type="dxa"/>
          </w:tcPr>
          <w:p w14:paraId="4F1952B6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1986E8E9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67A1EF7C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4A6D54C4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5F59D28C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71503D" w14:paraId="7AF49051" w14:textId="77777777" w:rsidTr="00CE7A09">
        <w:tc>
          <w:tcPr>
            <w:tcW w:w="5394" w:type="dxa"/>
          </w:tcPr>
          <w:p w14:paraId="5700D021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Kui taotluse menetlemise käigus on vajalik info kontrollimine, on töötajatele selleks loodud võimalused/antud õigused.</w:t>
            </w:r>
          </w:p>
        </w:tc>
        <w:tc>
          <w:tcPr>
            <w:tcW w:w="581" w:type="dxa"/>
          </w:tcPr>
          <w:p w14:paraId="553D6F02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30D88495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7D630E55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5C29DAA6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4CB5F13D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71503D" w14:paraId="00A3CCDB" w14:textId="77777777" w:rsidTr="00CE7A09">
        <w:tc>
          <w:tcPr>
            <w:tcW w:w="5394" w:type="dxa"/>
          </w:tcPr>
          <w:p w14:paraId="1351677E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Kui taotluse menetlemisel on vajalik info kontrollimine, on kontrollide tulemused salvestatud ja säilitatud.</w:t>
            </w:r>
          </w:p>
        </w:tc>
        <w:tc>
          <w:tcPr>
            <w:tcW w:w="581" w:type="dxa"/>
          </w:tcPr>
          <w:p w14:paraId="34FC0E30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44B910DE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0AC8EECA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597D8290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3F06BD95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71503D" w14:paraId="508A725F" w14:textId="77777777" w:rsidTr="00CE7A09">
        <w:tc>
          <w:tcPr>
            <w:tcW w:w="5394" w:type="dxa"/>
          </w:tcPr>
          <w:p w14:paraId="26F6AB3A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Taotlejale antakse taotluse menetlemise käigust (läbipaistvat) tagasisidet.</w:t>
            </w:r>
          </w:p>
        </w:tc>
        <w:tc>
          <w:tcPr>
            <w:tcW w:w="581" w:type="dxa"/>
          </w:tcPr>
          <w:p w14:paraId="6013965A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6A7BEE92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2F7C408A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4CC4BE61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32C87DAF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71503D" w14:paraId="1D1534D0" w14:textId="77777777" w:rsidTr="00CE7A09">
        <w:tc>
          <w:tcPr>
            <w:tcW w:w="5394" w:type="dxa"/>
          </w:tcPr>
          <w:p w14:paraId="6A529182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lastRenderedPageBreak/>
              <w:t>Taotluse menetlemise käik on volikogule, siseaudiitorile vm huvitatud isikule taastatav ja teostatud tegevused kontrollitavad.</w:t>
            </w:r>
          </w:p>
        </w:tc>
        <w:tc>
          <w:tcPr>
            <w:tcW w:w="581" w:type="dxa"/>
          </w:tcPr>
          <w:p w14:paraId="7CA510C0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63807E7F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5381CBF1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3579B56B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19318DAF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71503D" w14:paraId="21FD4132" w14:textId="77777777" w:rsidTr="00CE7A09">
        <w:tc>
          <w:tcPr>
            <w:tcW w:w="5394" w:type="dxa"/>
          </w:tcPr>
          <w:p w14:paraId="5197D8EB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Taotluse menetluse sammud dokumenteeritakse ning info säilitatakse.</w:t>
            </w:r>
          </w:p>
        </w:tc>
        <w:tc>
          <w:tcPr>
            <w:tcW w:w="581" w:type="dxa"/>
          </w:tcPr>
          <w:p w14:paraId="4969828B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6FC1D9CC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7ACD5600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3269379C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09872E06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71503D" w14:paraId="510803CF" w14:textId="77777777" w:rsidTr="00CE7A09">
        <w:tc>
          <w:tcPr>
            <w:tcW w:w="5394" w:type="dxa"/>
          </w:tcPr>
          <w:p w14:paraId="0BBAEAAB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Taotluste menetlemiseks on kehtestatud tähtajad.</w:t>
            </w:r>
          </w:p>
        </w:tc>
        <w:tc>
          <w:tcPr>
            <w:tcW w:w="581" w:type="dxa"/>
          </w:tcPr>
          <w:p w14:paraId="1CC94AE2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714A92BF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54EC90A3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1275A2BF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45F13195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71503D" w14:paraId="434400AD" w14:textId="77777777" w:rsidTr="00CE7A09">
        <w:tc>
          <w:tcPr>
            <w:tcW w:w="5394" w:type="dxa"/>
          </w:tcPr>
          <w:p w14:paraId="3B86FE81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Iga taotlus lõpeb otsusega, mis sisaldab ka otsuse tegemise aega ning põhjendusi.</w:t>
            </w:r>
          </w:p>
        </w:tc>
        <w:tc>
          <w:tcPr>
            <w:tcW w:w="581" w:type="dxa"/>
          </w:tcPr>
          <w:p w14:paraId="44DE80B1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26FBDA5F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26F540B6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29C0438F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4FEC9CB1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71503D" w14:paraId="57E8CEFE" w14:textId="77777777" w:rsidTr="00CE7A09">
        <w:tc>
          <w:tcPr>
            <w:tcW w:w="5394" w:type="dxa"/>
          </w:tcPr>
          <w:p w14:paraId="22DAC68A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Otsus tehakse taotlejale (kirjalikult) teatavaks.</w:t>
            </w:r>
          </w:p>
        </w:tc>
        <w:tc>
          <w:tcPr>
            <w:tcW w:w="581" w:type="dxa"/>
          </w:tcPr>
          <w:p w14:paraId="3DFF5FDE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090DA949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6C23FCA1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3B9FA5A6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76A2A033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71503D" w14:paraId="60A19036" w14:textId="77777777" w:rsidTr="00CE7A09">
        <w:tc>
          <w:tcPr>
            <w:tcW w:w="5394" w:type="dxa"/>
          </w:tcPr>
          <w:p w14:paraId="1959D9E4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On loodud otsuste vaidlustamise/</w:t>
            </w:r>
            <w:proofErr w:type="spellStart"/>
            <w:r w:rsidRPr="0036160B">
              <w:rPr>
                <w:lang w:val="et-EE"/>
              </w:rPr>
              <w:t>appelleerimise</w:t>
            </w:r>
            <w:proofErr w:type="spellEnd"/>
            <w:r w:rsidRPr="0036160B">
              <w:rPr>
                <w:lang w:val="et-EE"/>
              </w:rPr>
              <w:t xml:space="preserve"> ja vaiete lahendamise mehhanism.</w:t>
            </w:r>
          </w:p>
        </w:tc>
        <w:tc>
          <w:tcPr>
            <w:tcW w:w="581" w:type="dxa"/>
          </w:tcPr>
          <w:p w14:paraId="2708BDB9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15631709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157769EC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2127384F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78A803AA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71503D" w14:paraId="1067DA62" w14:textId="77777777" w:rsidTr="00CE7A09">
        <w:tc>
          <w:tcPr>
            <w:tcW w:w="5394" w:type="dxa"/>
          </w:tcPr>
          <w:p w14:paraId="31264069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Taotlejatele on avalikustatud info, kuidas vaidlustada otsuseid, millega nõus ei olda.</w:t>
            </w:r>
          </w:p>
        </w:tc>
        <w:tc>
          <w:tcPr>
            <w:tcW w:w="581" w:type="dxa"/>
          </w:tcPr>
          <w:p w14:paraId="2381B8FD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42A28845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7052880B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293A0B0E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32C6D1B5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71503D" w14:paraId="28E87418" w14:textId="77777777" w:rsidTr="00CE7A09">
        <w:tc>
          <w:tcPr>
            <w:tcW w:w="5394" w:type="dxa"/>
          </w:tcPr>
          <w:p w14:paraId="7B319BF8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Kui taotluses esitatakse ebaõigeid andmeid, jäetakse taotlus rahuldamata.</w:t>
            </w:r>
          </w:p>
        </w:tc>
        <w:tc>
          <w:tcPr>
            <w:tcW w:w="581" w:type="dxa"/>
          </w:tcPr>
          <w:p w14:paraId="3939660A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6A0C6BAA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798B5762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71A449C1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46AE5465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36160B" w14:paraId="37B03A7A" w14:textId="77777777" w:rsidTr="00CE7A09">
        <w:tc>
          <w:tcPr>
            <w:tcW w:w="5394" w:type="dxa"/>
          </w:tcPr>
          <w:p w14:paraId="78BA888B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Taotluste menetlemisel tekkinud vigu/probleeme analüüsitakse ning nende analüüside alusel parandatakse protsesse.</w:t>
            </w:r>
          </w:p>
        </w:tc>
        <w:tc>
          <w:tcPr>
            <w:tcW w:w="581" w:type="dxa"/>
          </w:tcPr>
          <w:p w14:paraId="271535CF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73BDFCAB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5A932E58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5B65DA7B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6D7B8BD4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71503D" w14:paraId="2FA08EEE" w14:textId="77777777" w:rsidTr="00CE7A09">
        <w:tc>
          <w:tcPr>
            <w:tcW w:w="15460" w:type="dxa"/>
            <w:gridSpan w:val="6"/>
          </w:tcPr>
          <w:p w14:paraId="7EC03AE6" w14:textId="77777777" w:rsidR="00D52D90" w:rsidRPr="0036160B" w:rsidRDefault="00D52D90" w:rsidP="00CE7A09">
            <w:pPr>
              <w:rPr>
                <w:b/>
                <w:lang w:val="et-EE"/>
              </w:rPr>
            </w:pPr>
            <w:r w:rsidRPr="0036160B">
              <w:rPr>
                <w:b/>
                <w:lang w:val="et-EE"/>
              </w:rPr>
              <w:t>Kui taotluse menetlemisel on vajalik taotluse hindamine:</w:t>
            </w:r>
          </w:p>
        </w:tc>
      </w:tr>
      <w:tr w:rsidR="00D52D90" w:rsidRPr="0071503D" w14:paraId="7AD7F403" w14:textId="77777777" w:rsidTr="00CE7A09">
        <w:tc>
          <w:tcPr>
            <w:tcW w:w="5394" w:type="dxa"/>
          </w:tcPr>
          <w:p w14:paraId="3D98003A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Hindamise kord ja kriteeriumid on avalikustatud ning kõigile kättesaadavad.</w:t>
            </w:r>
          </w:p>
        </w:tc>
        <w:tc>
          <w:tcPr>
            <w:tcW w:w="581" w:type="dxa"/>
          </w:tcPr>
          <w:p w14:paraId="0B4D7AA7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36671A62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2C6BE08B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4191FE27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18CFE6DA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36160B" w14:paraId="2DAFDDFB" w14:textId="77777777" w:rsidTr="00CE7A09">
        <w:tc>
          <w:tcPr>
            <w:tcW w:w="5394" w:type="dxa"/>
          </w:tcPr>
          <w:p w14:paraId="49B9077B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Hindamine fikseeritakse kirjalikult.</w:t>
            </w:r>
          </w:p>
        </w:tc>
        <w:tc>
          <w:tcPr>
            <w:tcW w:w="581" w:type="dxa"/>
          </w:tcPr>
          <w:p w14:paraId="5A60E534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5245EED4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5FE82D48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691DFD11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3E82742E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36160B" w14:paraId="590DF188" w14:textId="77777777" w:rsidTr="00CE7A09">
        <w:tc>
          <w:tcPr>
            <w:tcW w:w="5394" w:type="dxa"/>
          </w:tcPr>
          <w:p w14:paraId="4EE3B4C8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Hindamise tulemused säilitatakse.</w:t>
            </w:r>
          </w:p>
        </w:tc>
        <w:tc>
          <w:tcPr>
            <w:tcW w:w="581" w:type="dxa"/>
          </w:tcPr>
          <w:p w14:paraId="109B4B41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30A2B3FD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6CDFAD4D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5C084C3F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4561EEAB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  <w:tr w:rsidR="00D52D90" w:rsidRPr="0071503D" w14:paraId="01B7462D" w14:textId="77777777" w:rsidTr="00CE7A09">
        <w:tc>
          <w:tcPr>
            <w:tcW w:w="5394" w:type="dxa"/>
          </w:tcPr>
          <w:p w14:paraId="06F7DF54" w14:textId="77777777" w:rsidR="00D52D90" w:rsidRPr="0036160B" w:rsidRDefault="00D52D90" w:rsidP="00D52D90">
            <w:pPr>
              <w:pStyle w:val="Loendilik"/>
              <w:numPr>
                <w:ilvl w:val="0"/>
                <w:numId w:val="6"/>
              </w:numPr>
              <w:rPr>
                <w:lang w:val="et-EE"/>
              </w:rPr>
            </w:pPr>
            <w:r w:rsidRPr="0036160B">
              <w:rPr>
                <w:lang w:val="et-EE"/>
              </w:rPr>
              <w:t>Hindamise tulemustest antakse taotlejale tagasisidet.</w:t>
            </w:r>
          </w:p>
        </w:tc>
        <w:tc>
          <w:tcPr>
            <w:tcW w:w="581" w:type="dxa"/>
          </w:tcPr>
          <w:p w14:paraId="6E3F42B9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0BEFAFAB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0532DB5D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29" w:type="dxa"/>
          </w:tcPr>
          <w:p w14:paraId="0B1620A8" w14:textId="77777777" w:rsidR="00D52D90" w:rsidRPr="0036160B" w:rsidRDefault="00D52D90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6AEF8467" w14:textId="77777777" w:rsidR="00D52D90" w:rsidRPr="0036160B" w:rsidRDefault="00D52D90" w:rsidP="00CE7A09">
            <w:pPr>
              <w:rPr>
                <w:lang w:val="et-EE"/>
              </w:rPr>
            </w:pPr>
          </w:p>
        </w:tc>
      </w:tr>
    </w:tbl>
    <w:p w14:paraId="24B7986D" w14:textId="310C8BEA" w:rsidR="005355F7" w:rsidRPr="0036160B" w:rsidRDefault="005355F7" w:rsidP="005355F7">
      <w:pPr>
        <w:pStyle w:val="Kehatekst"/>
        <w:rPr>
          <w:b/>
          <w:lang w:val="et-EE"/>
        </w:rPr>
      </w:pPr>
    </w:p>
    <w:p w14:paraId="18EF506D" w14:textId="77777777" w:rsidR="005355F7" w:rsidRPr="0036160B" w:rsidRDefault="005355F7" w:rsidP="005355F7">
      <w:pPr>
        <w:pStyle w:val="Kehatekst"/>
        <w:rPr>
          <w:lang w:val="et-EE"/>
        </w:rPr>
      </w:pPr>
    </w:p>
    <w:p w14:paraId="2FED2271" w14:textId="77777777" w:rsidR="005355F7" w:rsidRPr="0036160B" w:rsidRDefault="005355F7" w:rsidP="005355F7">
      <w:pPr>
        <w:pStyle w:val="Kehatekst"/>
        <w:rPr>
          <w:lang w:val="et-EE"/>
        </w:rPr>
      </w:pPr>
    </w:p>
    <w:p w14:paraId="0D13AB9F" w14:textId="77777777" w:rsidR="005355F7" w:rsidRPr="00283C13" w:rsidRDefault="005355F7" w:rsidP="00283C13">
      <w:pPr>
        <w:pStyle w:val="Kehatekst"/>
        <w:rPr>
          <w:lang w:val="et-EE"/>
        </w:rPr>
      </w:pPr>
    </w:p>
    <w:p w14:paraId="62E0DC8F" w14:textId="77777777" w:rsidR="00283C13" w:rsidRDefault="00283C13"/>
    <w:sectPr w:rsidR="00283C13" w:rsidSect="00283C13">
      <w:headerReference w:type="default" r:id="rId7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AAE34" w14:textId="77777777" w:rsidR="00283C13" w:rsidRDefault="00283C13" w:rsidP="00283C13">
      <w:r>
        <w:separator/>
      </w:r>
    </w:p>
  </w:endnote>
  <w:endnote w:type="continuationSeparator" w:id="0">
    <w:p w14:paraId="465D45BB" w14:textId="77777777" w:rsidR="00283C13" w:rsidRDefault="00283C13" w:rsidP="0028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KPMG Logo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A0BAA" w14:textId="77777777" w:rsidR="00283C13" w:rsidRDefault="00283C13" w:rsidP="00283C13">
      <w:r>
        <w:separator/>
      </w:r>
    </w:p>
  </w:footnote>
  <w:footnote w:type="continuationSeparator" w:id="0">
    <w:p w14:paraId="01BB3C73" w14:textId="77777777" w:rsidR="00283C13" w:rsidRDefault="00283C13" w:rsidP="0028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9578" w14:textId="51614F32" w:rsidR="00283C13" w:rsidRDefault="00283C13">
    <w:pPr>
      <w:pStyle w:val="Pis"/>
    </w:pPr>
    <w:r>
      <w:rPr>
        <w:rFonts w:ascii="KPMG Logo" w:hAnsi="KPMG Logo"/>
        <w:i/>
        <w:noProof/>
        <w:sz w:val="43"/>
        <w:szCs w:val="44"/>
        <w:lang w:val="et-EE" w:eastAsia="et-EE"/>
      </w:rPr>
      <w:drawing>
        <wp:anchor distT="0" distB="0" distL="114300" distR="114300" simplePos="0" relativeHeight="251659264" behindDoc="0" locked="0" layoutInCell="1" allowOverlap="1" wp14:anchorId="43C83CF5" wp14:editId="7813FD03">
          <wp:simplePos x="0" y="0"/>
          <wp:positionH relativeFrom="margin">
            <wp:align>left</wp:align>
          </wp:positionH>
          <wp:positionV relativeFrom="topMargin">
            <wp:posOffset>314325</wp:posOffset>
          </wp:positionV>
          <wp:extent cx="685800" cy="26987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Detsember</w:t>
    </w:r>
    <w:proofErr w:type="spellEnd"/>
    <w:r>
      <w:t xml:space="preserve"> 2018</w:t>
    </w:r>
  </w:p>
  <w:p w14:paraId="1D2806CF" w14:textId="77777777" w:rsidR="005355F7" w:rsidRDefault="005355F7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28442818"/>
    <w:lvl w:ilvl="0" w:tplc="9AAC2928">
      <w:start w:val="1"/>
      <w:numFmt w:val="bullet"/>
      <w:pStyle w:val="Loenditpp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066A"/>
    <w:multiLevelType w:val="multilevel"/>
    <w:tmpl w:val="492C8D34"/>
    <w:lvl w:ilvl="0">
      <w:start w:val="1"/>
      <w:numFmt w:val="decimal"/>
      <w:pStyle w:val="Pealkiri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Pealkiri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Pealkiri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Pealkiri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BBD078C"/>
    <w:multiLevelType w:val="multilevel"/>
    <w:tmpl w:val="DC6CD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257159"/>
    <w:multiLevelType w:val="multilevel"/>
    <w:tmpl w:val="DC6CD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0C4C93"/>
    <w:multiLevelType w:val="hybridMultilevel"/>
    <w:tmpl w:val="DC6CD9E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7A3F91"/>
    <w:multiLevelType w:val="multilevel"/>
    <w:tmpl w:val="DC6CD9E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13"/>
    <w:rsid w:val="00283C13"/>
    <w:rsid w:val="005355F7"/>
    <w:rsid w:val="008D5455"/>
    <w:rsid w:val="00A757AF"/>
    <w:rsid w:val="00D5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B2CD"/>
  <w15:chartTrackingRefBased/>
  <w15:docId w15:val="{4D8A9CB7-6597-406E-B298-B6FCF8A2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83C13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styleId="Pealkiri1">
    <w:name w:val="heading 1"/>
    <w:basedOn w:val="Pealkiri2"/>
    <w:next w:val="Kehatekst"/>
    <w:link w:val="Pealkiri1Mrk"/>
    <w:qFormat/>
    <w:rsid w:val="00283C13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Pealkiri2">
    <w:name w:val="heading 2"/>
    <w:basedOn w:val="Kehatekst"/>
    <w:next w:val="Kehatekst"/>
    <w:link w:val="Pealkiri2Mrk"/>
    <w:qFormat/>
    <w:rsid w:val="00283C13"/>
    <w:pPr>
      <w:keepNext/>
      <w:numPr>
        <w:ilvl w:val="1"/>
        <w:numId w:val="1"/>
      </w:numPr>
      <w:spacing w:before="400" w:after="0" w:line="320" w:lineRule="exact"/>
      <w:outlineLvl w:val="1"/>
    </w:pPr>
    <w:rPr>
      <w:b/>
      <w:color w:val="00338D"/>
      <w:sz w:val="28"/>
      <w:lang w:val="fi-FI"/>
    </w:rPr>
  </w:style>
  <w:style w:type="paragraph" w:styleId="Pealkiri3">
    <w:name w:val="heading 3"/>
    <w:basedOn w:val="Pealkiri4"/>
    <w:next w:val="Kehatekst"/>
    <w:link w:val="Pealkiri3Mrk"/>
    <w:qFormat/>
    <w:rsid w:val="00283C13"/>
    <w:pPr>
      <w:numPr>
        <w:ilvl w:val="2"/>
      </w:numPr>
      <w:outlineLvl w:val="2"/>
    </w:pPr>
    <w:rPr>
      <w:b/>
      <w:i w:val="0"/>
    </w:rPr>
  </w:style>
  <w:style w:type="paragraph" w:styleId="Pealkiri4">
    <w:name w:val="heading 4"/>
    <w:basedOn w:val="Pealkiri5"/>
    <w:next w:val="Kehatekst"/>
    <w:link w:val="Pealkiri4Mrk"/>
    <w:qFormat/>
    <w:rsid w:val="00283C13"/>
    <w:pPr>
      <w:keepLines w:val="0"/>
      <w:numPr>
        <w:ilvl w:val="3"/>
        <w:numId w:val="1"/>
      </w:numPr>
      <w:spacing w:before="400" w:line="280" w:lineRule="exact"/>
      <w:outlineLvl w:val="3"/>
    </w:pPr>
    <w:rPr>
      <w:rFonts w:ascii="Arial" w:eastAsia="Times New Roman" w:hAnsi="Arial" w:cs="Times New Roman"/>
      <w:i/>
      <w:color w:val="00338D"/>
      <w:sz w:val="24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283C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283C13"/>
    <w:rPr>
      <w:rFonts w:ascii="Arial" w:eastAsia="Times New Roman" w:hAnsi="Arial" w:cs="Times New Roman"/>
      <w:b/>
      <w:color w:val="00338D"/>
      <w:sz w:val="32"/>
      <w:szCs w:val="20"/>
      <w:lang w:val="fi-FI"/>
    </w:rPr>
  </w:style>
  <w:style w:type="character" w:customStyle="1" w:styleId="Pealkiri2Mrk">
    <w:name w:val="Pealkiri 2 Märk"/>
    <w:basedOn w:val="Liguvaikefont"/>
    <w:link w:val="Pealkiri2"/>
    <w:rsid w:val="00283C13"/>
    <w:rPr>
      <w:rFonts w:ascii="Arial" w:eastAsia="Times New Roman" w:hAnsi="Arial" w:cs="Times New Roman"/>
      <w:b/>
      <w:color w:val="00338D"/>
      <w:sz w:val="28"/>
      <w:szCs w:val="20"/>
      <w:lang w:val="fi-FI"/>
    </w:rPr>
  </w:style>
  <w:style w:type="character" w:customStyle="1" w:styleId="Pealkiri3Mrk">
    <w:name w:val="Pealkiri 3 Märk"/>
    <w:basedOn w:val="Liguvaikefont"/>
    <w:link w:val="Pealkiri3"/>
    <w:rsid w:val="00283C13"/>
    <w:rPr>
      <w:rFonts w:ascii="Arial" w:eastAsia="Times New Roman" w:hAnsi="Arial" w:cs="Times New Roman"/>
      <w:b/>
      <w:color w:val="00338D"/>
      <w:sz w:val="24"/>
      <w:szCs w:val="20"/>
      <w:lang w:val="en-US"/>
    </w:rPr>
  </w:style>
  <w:style w:type="character" w:customStyle="1" w:styleId="Pealkiri4Mrk">
    <w:name w:val="Pealkiri 4 Märk"/>
    <w:basedOn w:val="Liguvaikefont"/>
    <w:link w:val="Pealkiri4"/>
    <w:rsid w:val="00283C13"/>
    <w:rPr>
      <w:rFonts w:ascii="Arial" w:eastAsia="Times New Roman" w:hAnsi="Arial" w:cs="Times New Roman"/>
      <w:i/>
      <w:color w:val="00338D"/>
      <w:sz w:val="24"/>
      <w:szCs w:val="20"/>
      <w:lang w:val="en-US"/>
    </w:rPr>
  </w:style>
  <w:style w:type="paragraph" w:styleId="Allmrkusetekst">
    <w:name w:val="footnote text"/>
    <w:basedOn w:val="Normaallaad"/>
    <w:link w:val="AllmrkusetekstMrk"/>
    <w:uiPriority w:val="99"/>
    <w:rsid w:val="00283C13"/>
    <w:rPr>
      <w:sz w:val="18"/>
    </w:rPr>
  </w:style>
  <w:style w:type="character" w:customStyle="1" w:styleId="AllmrkusetekstMrk">
    <w:name w:val="Allmärkuse tekst Märk"/>
    <w:basedOn w:val="Liguvaikefont"/>
    <w:link w:val="Allmrkusetekst"/>
    <w:uiPriority w:val="99"/>
    <w:rsid w:val="00283C13"/>
    <w:rPr>
      <w:rFonts w:ascii="Arial" w:eastAsia="Times New Roman" w:hAnsi="Arial" w:cs="Times New Roman"/>
      <w:sz w:val="18"/>
      <w:szCs w:val="20"/>
      <w:lang w:val="en-US"/>
    </w:rPr>
  </w:style>
  <w:style w:type="paragraph" w:styleId="Loendilik">
    <w:name w:val="List Paragraph"/>
    <w:basedOn w:val="Normaallaad"/>
    <w:uiPriority w:val="34"/>
    <w:unhideWhenUsed/>
    <w:qFormat/>
    <w:rsid w:val="00283C13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283C13"/>
    <w:rPr>
      <w:color w:val="0563C1" w:themeColor="hyperlink"/>
      <w:u w:val="single"/>
    </w:rPr>
  </w:style>
  <w:style w:type="table" w:styleId="Kontuurtabel">
    <w:name w:val="Table Grid"/>
    <w:basedOn w:val="Normaaltabel"/>
    <w:uiPriority w:val="39"/>
    <w:rsid w:val="0028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llmrkuseviide">
    <w:name w:val="footnote reference"/>
    <w:basedOn w:val="Liguvaikefont"/>
    <w:uiPriority w:val="99"/>
    <w:semiHidden/>
    <w:unhideWhenUsed/>
    <w:rsid w:val="00283C13"/>
    <w:rPr>
      <w:vertAlign w:val="superscript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283C13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283C13"/>
    <w:rPr>
      <w:rFonts w:ascii="Arial" w:eastAsia="Times New Roman" w:hAnsi="Arial" w:cs="Times New Roman"/>
      <w:szCs w:val="20"/>
      <w:lang w:val="en-US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283C13"/>
    <w:rPr>
      <w:rFonts w:asciiTheme="majorHAnsi" w:eastAsiaTheme="majorEastAsia" w:hAnsiTheme="majorHAnsi" w:cstheme="majorBidi"/>
      <w:color w:val="2F5496" w:themeColor="accent1" w:themeShade="BF"/>
      <w:szCs w:val="20"/>
      <w:lang w:val="en-US"/>
    </w:rPr>
  </w:style>
  <w:style w:type="paragraph" w:styleId="Pis">
    <w:name w:val="header"/>
    <w:basedOn w:val="Normaallaad"/>
    <w:link w:val="PisMrk"/>
    <w:uiPriority w:val="99"/>
    <w:unhideWhenUsed/>
    <w:rsid w:val="00283C13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283C13"/>
    <w:rPr>
      <w:rFonts w:ascii="Arial" w:eastAsia="Times New Roman" w:hAnsi="Arial" w:cs="Times New Roman"/>
      <w:szCs w:val="20"/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283C13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283C13"/>
    <w:rPr>
      <w:rFonts w:ascii="Arial" w:eastAsia="Times New Roman" w:hAnsi="Arial" w:cs="Times New Roman"/>
      <w:szCs w:val="20"/>
      <w:lang w:val="en-US"/>
    </w:rPr>
  </w:style>
  <w:style w:type="paragraph" w:styleId="Loenditpp">
    <w:name w:val="List Bullet"/>
    <w:basedOn w:val="Kehatekst"/>
    <w:qFormat/>
    <w:rsid w:val="005355F7"/>
    <w:pPr>
      <w:numPr>
        <w:numId w:val="3"/>
      </w:numPr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Kaie Küngas</dc:creator>
  <cp:keywords/>
  <dc:description/>
  <cp:lastModifiedBy>Kaie Küngas</cp:lastModifiedBy>
  <cp:revision>2</cp:revision>
  <dcterms:created xsi:type="dcterms:W3CDTF">2022-01-28T12:29:00Z</dcterms:created>
  <dcterms:modified xsi:type="dcterms:W3CDTF">2022-01-28T12:29:00Z</dcterms:modified>
</cp:coreProperties>
</file>